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61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Приложение </w:t>
      </w:r>
      <w:r w:rsidR="003F59B3">
        <w:rPr>
          <w:b/>
          <w:sz w:val="28"/>
          <w:szCs w:val="28"/>
        </w:rPr>
        <w:t>1</w:t>
      </w:r>
    </w:p>
    <w:p w:rsidR="005D2B61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center"/>
        <w:rPr>
          <w:sz w:val="26"/>
          <w:szCs w:val="26"/>
        </w:rPr>
      </w:pPr>
      <w:r w:rsidRPr="005D2B61">
        <w:rPr>
          <w:b/>
          <w:sz w:val="28"/>
          <w:szCs w:val="28"/>
        </w:rPr>
        <w:t>Основные положения о предоставлении грантов в форме субсидий социальным предпринимателям</w:t>
      </w:r>
      <w:r>
        <w:rPr>
          <w:sz w:val="26"/>
          <w:szCs w:val="26"/>
        </w:rPr>
        <w:t>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Финансовая поддержка субъектов малого и среднего предпринимательства (далее - СМСП), включенных в реестр социальных предпринимателей, а также индивидуальных предпринимателей в возрасте до 25 лет включительно и юридических лиц,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СМСП, будет осуществляться за счет средств областного и федерального бюджетов путем предоставления грантов в форме субсидий.</w:t>
      </w:r>
    </w:p>
    <w:p w:rsidR="005D2B61" w:rsidRPr="00C96CD0" w:rsidRDefault="005D2B61" w:rsidP="005D2B6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96CD0">
        <w:rPr>
          <w:rFonts w:ascii="Times New Roman" w:hAnsi="Times New Roman" w:cs="Times New Roman"/>
          <w:b w:val="0"/>
          <w:sz w:val="26"/>
          <w:szCs w:val="26"/>
        </w:rPr>
        <w:t>Порядок предоставления грантов определен постановлением  Правительства Иркутской области  от 09.11. 2021 г. № 830-пп «О предоставлении из областного бюджета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Гранты предоставляются в целях финансового обеспечения затрат СМСП, впервые признанного социальным предприятием, предусмотренных на реализацию нового проекта в сфере социального предпринимательства, или затрат СМСП,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 или затрат молодого предпринимателя, предусмотренных на реализацию проекта в сфере предпринимательской деятельности, по следующим направлениям: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1) аренда нежилого помещения;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2) 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3) аренда и (или) приобретение оргтехники, оборудования (в том числе инвентаря, мебели);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4) выплата по передаче прав на франшизу (паушальный платеж);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5)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6) оплата коммунальных услуг и услуг электроснабжения;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7) оформление результатов интеллектуальной деятельности;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8) приобретение основных средств (за исключением приобретения зданий, сооружений, земельных участков, автомобилей);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9) переоборудование транспортных средств для перевозки маломобильных групп населения, в том числе инвалидов;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10) оплата услуг связи, в том числе информационно-телекоммуникационной сети "Интернет";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 xml:space="preserve">11)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</w:t>
      </w:r>
      <w:r w:rsidRPr="00C96CD0">
        <w:rPr>
          <w:sz w:val="26"/>
          <w:szCs w:val="26"/>
        </w:rPr>
        <w:lastRenderedPageBreak/>
        <w:t>регистрацию доменных имен в информационно-телекоммуникационной сети "Интернет" и продление регистрации, расходы на поисковую оптимизацию, услуги (работы) по модернизации сайта и аккаунтов в социальных сетях);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12)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13) приобретение сырья, расходных материалов, необходимых для производства продукции и оказания услуг;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14)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C96CD0">
        <w:rPr>
          <w:sz w:val="26"/>
          <w:szCs w:val="26"/>
        </w:rPr>
        <w:t>абилитации</w:t>
      </w:r>
      <w:proofErr w:type="spellEnd"/>
      <w:r w:rsidRPr="00C96CD0">
        <w:rPr>
          <w:sz w:val="26"/>
          <w:szCs w:val="26"/>
        </w:rPr>
        <w:t>) инвалидов (в случае предоставления гранта социальному предприятию);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 xml:space="preserve">15) уплата первого взноса (аванса) при заключении договора лизинга и (или) лизинговых платежей, уплата платежей по договору лизинга, </w:t>
      </w:r>
      <w:proofErr w:type="spellStart"/>
      <w:r w:rsidRPr="00C96CD0">
        <w:rPr>
          <w:sz w:val="26"/>
          <w:szCs w:val="26"/>
        </w:rPr>
        <w:t>сублизинга</w:t>
      </w:r>
      <w:proofErr w:type="spellEnd"/>
      <w:r w:rsidRPr="00C96CD0">
        <w:rPr>
          <w:sz w:val="26"/>
          <w:szCs w:val="26"/>
        </w:rPr>
        <w:t>, в случае если предметом договора является транспортное средство, за исключением самоходных машин и других видов техники.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региона и различных фондов, уплаты процентов по займам, предоставленным государственными МФО, а также по кредитам.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 xml:space="preserve">Максимальный размер гранта составляет не более 500 </w:t>
      </w:r>
      <w:proofErr w:type="spellStart"/>
      <w:r w:rsidRPr="00C96CD0">
        <w:rPr>
          <w:sz w:val="26"/>
          <w:szCs w:val="26"/>
        </w:rPr>
        <w:t>тыс.рублей</w:t>
      </w:r>
      <w:proofErr w:type="spellEnd"/>
      <w:r w:rsidRPr="00C96CD0">
        <w:rPr>
          <w:sz w:val="26"/>
          <w:szCs w:val="26"/>
        </w:rPr>
        <w:t xml:space="preserve"> на одного получателя. Минимальный размер гранта составляет не менее 100 тыс. рублей на одного получателя. При этом размер собственных средств предпринимателя на реализацию проекта должен быть не менее 25% от общей стоимости проекта. Гранты предоставляются по результата</w:t>
      </w:r>
      <w:r>
        <w:rPr>
          <w:sz w:val="26"/>
          <w:szCs w:val="26"/>
        </w:rPr>
        <w:t>м</w:t>
      </w:r>
      <w:r w:rsidRPr="00C96CD0">
        <w:rPr>
          <w:sz w:val="26"/>
          <w:szCs w:val="26"/>
        </w:rPr>
        <w:t xml:space="preserve"> конкурсного отбора.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Основные требования, предъявляемые к предпринимателям: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•  Предприниматель должен быть признан социальным предприятием и включён в реестр СМСП.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•  Для допуска социального предприятия к защите проекта в сфере социального предпринимательства к конкурсному отбору предприниматель, впервые признанный социальным предприятием, должен пройти обучение в Центре «Мой бизнес» в рамках обучающих или акселерационных программ в течение 1 года до получения гранта.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proofErr w:type="gramStart"/>
      <w:r w:rsidRPr="00C96CD0">
        <w:rPr>
          <w:sz w:val="26"/>
          <w:szCs w:val="26"/>
        </w:rPr>
        <w:t>•  Предприниматель</w:t>
      </w:r>
      <w:proofErr w:type="gramEnd"/>
      <w:r w:rsidRPr="00C96CD0">
        <w:rPr>
          <w:sz w:val="26"/>
          <w:szCs w:val="26"/>
        </w:rPr>
        <w:t xml:space="preserve"> должен реализовывать созданный проект в сфере социального предпринимательства.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Получатель гранта обязуется ежегодно в течение 3 лет, начиная с года, следующего за годом предоставления гранта, представлять документы для признания его социальным предприятием в соответствии с Федеральным законом № 209-ФЗ.</w:t>
      </w:r>
    </w:p>
    <w:p w:rsidR="00256E66" w:rsidRDefault="00256E66"/>
    <w:sectPr w:rsidR="0025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61"/>
    <w:rsid w:val="00256E66"/>
    <w:rsid w:val="003F59B3"/>
    <w:rsid w:val="005D2B61"/>
    <w:rsid w:val="006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57222-A54B-4B2C-B0F5-988B8F4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2B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8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admin</cp:lastModifiedBy>
  <cp:revision>2</cp:revision>
  <cp:lastPrinted>2023-03-09T01:26:00Z</cp:lastPrinted>
  <dcterms:created xsi:type="dcterms:W3CDTF">2023-03-09T01:34:00Z</dcterms:created>
  <dcterms:modified xsi:type="dcterms:W3CDTF">2023-03-09T01:34:00Z</dcterms:modified>
</cp:coreProperties>
</file>